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nutrients help build and repair body tissues?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NOT put an individual at risk for malnutrition?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 too much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 too little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absorption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 a variety of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foods are considered to have a low nutrient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potato chips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carrots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steaks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many cumulative effects of a poor, unbalanced diet. Which of these disease states is NOT attributable to a low-nutrient-density diet?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atherosclerosis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obstructive pulmonary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mineral is needed to prevent osteoporosis from occurring?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part of a nutrition assessment involves anthropometric measurements. What is measured during this type of assessment?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muscle 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fat tissue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fat and muscle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body fluid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biochemical analysis of blood samples may indicate kidney failure?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albumin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transferrin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creatinine excretion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blood urea nitrogen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common method of assessing a client’s dietary history?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3-day food 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24-hour recall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-day food diary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3-day recall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deficiency displays lesions at the corners of the mouth?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riboflavin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Obesity can increase your risk of developing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 deficiency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kidney failure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osteoporosis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Education in good nutritional health practices would eliminate many health problems that may be caused by malnutrition. Which of the following is the best method for teaching the young child good health habits?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good health program in kindergarten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the physician discuss nutrition with the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imitation of adult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imitation of eating habits of other 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common form of nutrient deficiency in the United States?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niacin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biochemical test measures protein status?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transferrin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creatinine excretion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albumin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creatinine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biochemical test indicates a depleted muscle mass?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transferrin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creatinine excretion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albumin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serum creatinine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blood test can indicate anemia?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hemoglobin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red blood cell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blood urea nitrogen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lipid profile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test detects protein and sugar excretion in urine that can indicate kidney disease and diabetes?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blood urea nitrogen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creatinine excretion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urinalysis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creatinine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characteristic of poor nutritional status?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shiny hair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clear eyes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erect posture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diseases is related to vitamin C deficiency?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goiter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scurvy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xerophthalmia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measures is NOT included in the lipid profile?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serum triglycerides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total serum 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high-density lipoproteins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Goiter is a deficiency disease related to deficiency of what nutrient?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folic acid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inorganic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Poorly shaped bones or teeth are a symptom of calcium and vitamin D deficiency. Discuss the relationship between these substances.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 is necessary for the utilization of calcium in the body.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a social history important when doing a nutritional assessment?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determine whether the client has the financial resources to obtain the needed food and the ability to store and prepare the 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methods, or means of data collection, used to complete an accurate nutritional assessment that is the framework for a dietary treatment plan.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history, 24-hour diet recall, food diary for 3 to 4 days, computer analysis of the diet, review for any food–drug interactions, review of medical records, clinical examinations, and review of results of any biochemical tests and anthropometrical measurements.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adolescent and the elderly are age groups that are very prone to malnutrition. Discuss the reasons for this.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adolescent responds to peer pressure to determine the types of foods consumed (chips, colas, candy, etc.), and the lifestyle of a teen (always on the go) may result in many skipped meals. The elderly are often alone, and mealtimes can be unpleasant and lonely, resulting in skipped meals and in eating poorly balanced meals. Living conditions often do not encourage a healthy appetite. Financially, some elderly may not be able to afford fresh fruits and vegetables or the protein sources of foods.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appearance of an 18-year-old female who is at the optimal level of nutritional balance.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Shiny hair, clear skin, clear eyes, erect posture, alert expressions, firm flesh on well-developed bone structure, healthy appetite, regular sleep and elimination habits, and positive emotional adjustments.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primary function(s) of each of the organic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function of carbohydrates and fats is to provide energy. Proteins build and repair body tissues, and vitamins regulate body processes.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Wellness is a way of life that integrates mind, body, and spirit. What lifestyle habits will help one achieve wellness?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 can be accomplished through lifestyle habits such as focusing on healthy food choices, not smoking, participating in regular physical activity, and maintaining a healthy weight.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Modified 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Appetite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the physiological need for food.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Hunger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psychological desire for food.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Hunger; Appetite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essential nutrient water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provides energy</w:t>
            </w:r>
            <w:r>
              <w:rPr>
                <w:rStyle w:val="DefaultParagraphFont"/>
                <w:rFonts w:ascii="Times New Roman" w:eastAsia="Times New Roman" w:hAnsi="Times New Roman" w:cs="Times New Roman"/>
                <w:b w:val="0"/>
                <w:bCs w:val="0"/>
                <w:i w:val="0"/>
                <w:iCs w:val="0"/>
                <w:smallCaps w:val="0"/>
                <w:color w:val="000000"/>
                <w:sz w:val="22"/>
                <w:szCs w:val="22"/>
                <w:bdr w:val="nil"/>
                <w:rtl w:val="0"/>
              </w:rPr>
              <w:t>. 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regulates body processes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Primary deficiencies are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those an individual is born with</w:t>
            </w:r>
            <w:r>
              <w:rPr>
                <w:rStyle w:val="DefaultParagraphFont"/>
                <w:rFonts w:ascii="Times New Roman" w:eastAsia="Times New Roman" w:hAnsi="Times New Roman" w:cs="Times New Roman"/>
                <w:b w:val="0"/>
                <w:bCs w:val="0"/>
                <w:i w:val="0"/>
                <w:iCs w:val="0"/>
                <w:smallCaps w:val="0"/>
                <w:color w:val="000000"/>
                <w:sz w:val="22"/>
                <w:szCs w:val="22"/>
                <w:bdr w:val="nil"/>
                <w:rtl w:val="0"/>
              </w:rPr>
              <w:t>, while secondary deficiencies are those caused by a disease condition associated with malabsorption and accelerated excretion or by the destruction of the nutrients. 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deficiencies are caused by inadequate dietary intake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Biochemical tests include various blood, urine, and stool tests. A deficiency or toxicity can be determined by a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visual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analysis of the samples.______________________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laboratory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deficiency disease beriberi is caused by inadequate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niacin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intake.____________________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thiamin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Osteoporosis is a dietary deficiency of calcium and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vitamin 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that causes bones to soften and may cause the spine to bend. 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body must be provided with nutrients that are necessary for life. These nutrients are available only in food, must be obtained by the body’s nutritional intake, and are known as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essential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 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with overnutrition are at risk for malnutrition and need intensive nutrition intervention.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Ms. Wooly brought her daughter, Mary, age 16, to the health care center to be seen by the nurse for a referral to the physician. Together, they tell the nurse that Mary has had nausea, vomiting, and headaches for the past 2 weeks. She has vomited “almost every day.” Ms. Wooly began to cry as she tells the nurse that Mary does not remember the date of her last menstrual period and that she is afraid that Mary is pregnant. During this interchange, Mary appears stoic and does not cry or have any verbalizations. After a blood test that confirmed the pregnancy, Ms. Wooly became calmer. A prenatal assessment was begun. Ms. Wooly answered most of the questions even though they were directed at Mary.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Last menstrual period was estimated to be 2 months ago.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Menses onset began 4 years ago.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Ht: 5′8″</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125 lbs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 frame size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described her usual dietary intake as including hamburgers, hot dogs, chips, candy, and colas. Mary denies alcohol, drug, or cigarette use. Mary would not discuss the father of the child, nor did she volunteer any additional information. It is evident that Mary has some urgent needs that must be addressed during this visit. Mary is young and will need time to accept the pregnancy, but she must also begin to eat properly to meet her nutritional needs and those of the infant.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Problem nutrients for teen pregnancies include calcium, zinc, iron, vitamin A, vitamin C, folate, and protein. What are the needs of each of these nutrients for a pregnant teenager?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(under 18) 1,000 mg 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 530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μg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Zinc: 10.5 mg 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 66 mg 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 23 mg 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Folate: 520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μg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0.88 g per kilogram 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http://fnic.nal.usda.gov/dietary-guidance/dietary-reference-intakes/dri-tables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three nursing diagnosis statements from the assessment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Altered nutrition: less than body requirements related to adolescent pregnancy, when her own needs for growth and maturation are still high and eating habits are poor. Knowledge deficit related to nutritional requirements during pregnancy. Anxiety related to changes, discomforts, or emotional feelings resulting from pregnancy.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nursing interventions to help Mary achieve an adequate nutritional status.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 Mary nutritional needs during pregnancy and the characteristics of an adequate diet. Help Mary individualize her diet so that she achieves an adequate intake. Teach Mary strategies for coping with nutrition-related discomforts of pregnancy.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Advise Mary to use nutritional supplements, vitamins, and iron appropriately. Consult with and make referrals to other professionals, dietitian, social services, and other programs developed to aid pregnant women, such as the Special Supplemental Program for Women, Infants, and Children (WIC).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Mary’s age, physical symptoms, and diagnosis will factor into her care. Teen pregnancy is impacted by several life cycle needs and also covers a broad range of developmental needs based on the pregnancy and the woman’s age. Discuss the factors associated with nutrition and identify goals to help Mary obtain a successful outcome.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is a pregnant teenager. She still has the pressures of being a teenager and the demands of eating nutritionally. In addition to eating properly for the fetus, Mary is still growing and developing with her own nutritional needs. She may also have cravings related to fast foods or empty calories and possibly aversions to meat and eggs. Her list of “usual foods” shows how difficult it may be for her to change her dietary habits and eat healthily. Goal 1: Mary will verbalize understanding of the rationale for eating a nutritious diet. Goal 2: Mary will select foods and make a meal plan that adheres to dietary guidelines for a pregnant teen.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usual weight gain recommended for a pregnant adolescent who is at the recommended weight for her height, for an overweight teen, and for an underweight teen.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 weight gain for a teenager should be at the higher end of the range. A gain of 1 pound (lb) per week in the second and third trimesters of pregnancy is advised. If the adolescent is underweight, a 40-lb gain is recommended; for normal weight, 35 lbs; and 25 lbs for an overweight teen. Generally, pregnant adolescents should consume no fewer than 2,000 calories per day. In many cases, higher caloric intakes are needed.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Contact the WIC program in your community. Discuss the benefits and goals and describe the positive outcomes.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individualized nutritional risk profile is developed for each person, and a specific nutritional rehabilitation program is determined. Goals are increased birth weight, decreased preterm delivery, and decreased maternal morbidity and perinatal morbidity and mortality.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Mary hears the nurse tell her she will need to increase her caloric intake, her first response to the nurse was, “More chips, candy, colas.” What is the nurse’s response?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nurse must help Mary understand that the weight gain must be from desirable foods that are nutrient dense and emphasize the importance of choosing a varied diet. The empty calories that Mary prefers provide no nutritional value for her or the baby.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a meaningful exchange of information will occur with Mary, the nurse must first build a trusting relationship and establish good communication lines. Describe the setting that will be most conducive to beginning this dialogue. Who will be present? What will help Mary be relaxed and feel nonthreatened? Describe positive communication techniques that will be useful. How should the session begin?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of a trusting relationship should begin with the nurse meeting with Mary alone. Allow her to be in a comfortable position. Sit on a couch next to her, not behind a desk with her facing you. Use open-ended questions, exploratory statements; and body language that is nonthreatening so Mary will feel comfortable. Don’t ask leading questions such as, “You don’t drink or smoke pot, do you?” Begin by talking about daily events to put Mary at ease. As the conversation progresses, use silence to allow Mary to gather her thoughts. Speak with Mary as an adult. Encourage questions from her.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Mr. Lew was transported to the emergency room (ER) by emergency transport. City police officers called an ambulance after finding Mr. Lew lying in an alley with apparent unconsciousness. The emergency medical team started an intravenous (IV), and upon arriving at the ER, Mr. Lew had regained consciousness but is now unconscious again. Physical data collected included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appearance is unkempt and dirty.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Odor suggests consumption of alcohol is likely.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 96, P 124, R 36, B/P 90/40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Very emaciated appearance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Legs and arms very dry and flaky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Mottled purplish areas to lower extremities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Edema 3+ in ankles and lower legs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Abdomen tight and distended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Facial color and nail beds pale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response to painful or verbal stimuli</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physician examination, Mr. Lew was admitted to the hospital with malnutrition, R/O pancreatitis, and cirrhosis of the liver due to ETOH abuse.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Mr. Lew has no family or friends present and his level of awareness will greatly restrict data collection. List the data collection methods that are available considering Mr. Lew’s condition. Identify any tools you will need to collect assessment data to begin the planning phase.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collection methods include a physical examination, including anthropometric measurements, a nursing history, and biochemical analyses. When Mr. Lew regains complete orientation, a dietary history and dietary recall can be done. Scales, tape measure, and a stethoscope are needed. A dietary history will be difficult to complete; however, the location of his body (in an alley) may indicate the type of lifestyle he has been leading. Tools needed will vary but may include paper, pencil, thermometer, stethoscope, sphygmomanometer, and watch.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 data that will be assessed.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Eyes should be bright and shiny; assess gums for caries, lesions, missing teeth, edema, and presence of bleeding; face and skin dry, scaly, or smooth and firm; tongue for redness, bumpiness, and roughness; nails firm and pink; posture; wasted appearance; reflexes; vital signs; fat-fold measures; height and weight.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biochemical analyses that should be monitored.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Serum albumin, prealbumin, hematocrit, hemoglobin, electrolytes, glucose, BUN, cholesterol including triglycerides, uric acid, calcium, magnesium, enzymes, creatinine, iron, folate, and B</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goals for Mr. Lew, relating to nutrition. Be specific as to protein needs.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 Lew will stabilize fluid and electrolyte balance within 24–48 hours; receive adequate nutrients to meet nutritional needs (typically 30–35 calories per kilogram of body weight); gain 0.25–0.5 lb/kg a week. Protein needs are greater in those recovering from alcoholism. Goal would be to consume 1–2 grams per kilogram of body weight daily. The extra protein is needed for cell growth and muscle and tissue repair. He will need to have protein added to meals as well as one to three snacks per day with added protein.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 Academy of Nutrition and Dietetics Nutrition Care Manual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goal, what outcome data will verify that the goals have been met?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Fluid intake and output will be balanced and vital signs will be normal. Nutritional therapy will be ongoing. Overall physical indicators may not be notable for several weeks, considering the time period it may have taken to reach the level of emaciation. Weight will be fluctuating at first; a stable weight with gain will validate the goal. An adequate diet for Mr. Lew will be necessary for the rest of his life. Laboratory values will be stable, within normal limits, within 48 hours. Mr. Lew will report consuming three meals a day with adequate protein as well as snacks between meals. He will report no alcohol consumption. He will also have improved appearance, less dry skin, decreased edema, and improved abdominal distention.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goals identified, which is the highest in priority?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Normal laboratory values are the highest priority. In his present condition, it is of utmost need to stabilize his body’s fluid and electrolyte balance.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nursing interventions to meet the identified goals.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 daily, monitor I &amp; O hourly, monitor B/P, T, P, R rate, breath sounds, and edema. Monitor lab values: glucose, vitamins, minerals, trace elements, electrolytes, albumin/prealbumin, folate, zinc, and BUN. Mouth care every 2 hours. Offer small, frequent feedings. Collaborate with dietician for a progressive diet, high in nutrients. Monitor calorie count for 3 days, closely monitoring protein intake. Assess client’s knowledge of a balanced diet. Provide positive reinforcement for food intake.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role alcohol has played in Mr. Lew’s nutritional status.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 produces euphoria that results in depressed appetite and impacts the diet of a drinker. People afflicted in this manner tend to eat very little. The alcohol is rich in calories and energy; however, alcohol provides empty calories. The more one drinks, the less food is eaten. Even when food is eaten, the alcohol interferes with the body’s ingestion, digestion, absorption, metabolism, and excretion of nutrients. Nutrient deficiencies are an inevitable result of alcoholism.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The Relationship of Nutrition and Health</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The Relationship of Nutrition and Health</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